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F2" w:rsidRDefault="001433F2">
      <w:pPr>
        <w:pStyle w:val="ConsPlusNormal"/>
        <w:jc w:val="center"/>
        <w:outlineLvl w:val="1"/>
      </w:pPr>
      <w:bookmarkStart w:id="0" w:name="P3933"/>
      <w:bookmarkStart w:id="1" w:name="_GoBack"/>
      <w:bookmarkEnd w:id="0"/>
      <w:bookmarkEnd w:id="1"/>
      <w:r>
        <w:t>Указания</w:t>
      </w:r>
    </w:p>
    <w:p w:rsidR="001433F2" w:rsidRDefault="001433F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Общие положения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proofErr w:type="gramStart"/>
      <w:r>
        <w:t xml:space="preserve">Годовую </w:t>
      </w:r>
      <w:hyperlink w:anchor="P35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3-АФК "Сведения об адаптивной физической культуре и спорте" (далее - форма) заполняют юридические лица, осуществляющие деятельность по адаптивной физической культуре и спорту (объединения, учреждения, организации, независимо от их организационно-правовых форм и форм собственности; образовательные учреждения дошкольного, начального, среднего, высшего профессионального и дополнительного образования; дома, дворцы молодежи и школьников;</w:t>
      </w:r>
      <w:proofErr w:type="gramEnd"/>
      <w:r>
        <w:t xml:space="preserve"> </w:t>
      </w:r>
      <w:proofErr w:type="gramStart"/>
      <w:r>
        <w:t>дома и дворцы культуры; спортивные сооружения, имеющие статус юридического лица, физкультурно-спортивные клубы инвалидов; организации и объединения, органы исполнительной власти субъектов Российской Федерации в области физической культуры и спорта и другие организации и объединения, проводящие физкультурно-оздоровительную и спортивную работу с инвалидами).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 </w:t>
      </w:r>
      <w:hyperlink w:anchor="P6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35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</w:t>
      </w:r>
      <w:hyperlink w:anchor="P64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проставляется код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</w:t>
      </w:r>
      <w:proofErr w:type="gramStart"/>
      <w:r>
        <w:t>Интернет-портале</w:t>
      </w:r>
      <w:proofErr w:type="gramEnd"/>
      <w:r>
        <w:t xml:space="preserve"> Росстата: http://statreg.gks.ru.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35" w:history="1">
        <w:r w:rsidR="001433F2">
          <w:rPr>
            <w:color w:val="0000FF"/>
          </w:rPr>
          <w:t>Форма</w:t>
        </w:r>
      </w:hyperlink>
      <w:r w:rsidR="001433F2">
        <w:t xml:space="preserve"> составляется за прошедший календарный год, по данным на конец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Все разделы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должны быть четко и полностью заполнены. Данные приводятся в тех единицах измерения, которые указаны в </w:t>
      </w:r>
      <w:hyperlink w:anchor="P35" w:history="1">
        <w:r>
          <w:rPr>
            <w:color w:val="0000FF"/>
          </w:rPr>
          <w:t>форме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составлении </w:t>
      </w:r>
      <w:hyperlink w:anchor="P35" w:history="1">
        <w:r>
          <w:rPr>
            <w:color w:val="0000FF"/>
          </w:rPr>
          <w:t>формы</w:t>
        </w:r>
      </w:hyperlink>
      <w:r>
        <w:t xml:space="preserve"> должна быть обеспечена полнота заполнения и достоверность содержащихся в ней первичных статистических данных.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Юридические лица, осуществляющие деятельность по адаптивной физической культуре и спорту,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до 15 января после отчетного периода на бумажном носителе, подписанную руководителем, заверенную печатью соответствующего органа или в электронном виде.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Органы местного самоуправления городских округов,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органы исполнительной власти субъектов Российской Федерации в области физической культуры и спорта до 25 января после отчетного периода на бумажном носителе, подписанную руководителем, заверенную печатью </w:t>
      </w:r>
      <w:r>
        <w:lastRenderedPageBreak/>
        <w:t>соответствующего органа или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Органы исполнительной власти субъектов Российской Федерации в области физической культуры и спорта представляют заполненную </w:t>
      </w:r>
      <w:hyperlink w:anchor="P35" w:history="1">
        <w:r>
          <w:rPr>
            <w:color w:val="0000FF"/>
          </w:rPr>
          <w:t>форму</w:t>
        </w:r>
      </w:hyperlink>
      <w:r>
        <w:t xml:space="preserve"> в Министерство спорта Российской Федерации до 10 февраля на бумажном носителе, подписанную руководителем, заверенную печатью соответствующего органа исполнительной власти в области физической культуры и спорта субъекта Российской Федерации или в электронном виде.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Сведения об адаптивной физической культуре и спорте представляются по состоянию на 31 декабря отчетного периода.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I. Физкультурно-оздоровительная работа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78" w:history="1">
        <w:r>
          <w:rPr>
            <w:color w:val="0000FF"/>
          </w:rPr>
          <w:t>разделе</w:t>
        </w:r>
      </w:hyperlink>
      <w:r>
        <w:t xml:space="preserve"> учитываются все формы физкультурно-оздоровительной и спортивной работы, проводимой с инвалидами всех возрастных групп в учреждениях, на предприятиях, в объединениях и организациях,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К числу систематически занимающихся физической культурой и спортом &lt;*&gt; относятся лица с ограниченными возможностями здоровья и инвалиды, занимающиеся избранным видом спорта или общей физической подготовкой в организованной форме занятий или индивидуально не менее 2-х раз или 2-х суммарных часов в неделю.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433F2" w:rsidRDefault="001433F2">
      <w:pPr>
        <w:pStyle w:val="ConsPlusNormal"/>
        <w:spacing w:before="280"/>
        <w:ind w:firstLine="540"/>
        <w:jc w:val="both"/>
      </w:pPr>
      <w:bookmarkStart w:id="2" w:name="P3961"/>
      <w:bookmarkEnd w:id="2"/>
      <w:r>
        <w:t xml:space="preserve">&lt;*&gt; Значение понятия приведено исключительно в целях заполнения настоящей </w:t>
      </w:r>
      <w:hyperlink w:anchor="P35" w:history="1">
        <w:r>
          <w:rPr>
            <w:color w:val="0000FF"/>
          </w:rPr>
          <w:t>формы</w:t>
        </w:r>
      </w:hyperlink>
      <w:r>
        <w:t>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Учет занимающихся ведется строго по журналам учета работы секций, групп. Каждый занимающийся учитывается только по одной форме занятий.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110" w:history="1">
        <w:r w:rsidR="001433F2">
          <w:rPr>
            <w:color w:val="0000FF"/>
          </w:rPr>
          <w:t>Графы 3</w:t>
        </w:r>
      </w:hyperlink>
      <w:r w:rsidR="001433F2">
        <w:t xml:space="preserve"> - </w:t>
      </w:r>
      <w:hyperlink w:anchor="P128" w:history="1">
        <w:r w:rsidR="001433F2">
          <w:rPr>
            <w:color w:val="0000FF"/>
          </w:rPr>
          <w:t>21</w:t>
        </w:r>
      </w:hyperlink>
      <w:r w:rsidR="001433F2">
        <w:t xml:space="preserve"> заполняются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3) учитывается суммарный показатель количества учреждений, предприятий, объединений, организаций, проводящих физкультурно-оздоровительную или спортивную работу, а также лечебную физическую культуру указанных в перечне </w:t>
      </w:r>
      <w:hyperlink w:anchor="P7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учитывается сумма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4) учитывается суммарное количество штатных работников в области адаптивной, физической культуры и спорта, проводящих физкультурно-оздоровительную или спортивную </w:t>
      </w:r>
      <w:r>
        <w:lastRenderedPageBreak/>
        <w:t xml:space="preserve">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 (административные и технические работники не учитываются).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5) учитываются штатные работники в области адаптивной физической культуры и спорта в сельской местности, указанные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 xml:space="preserve">.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5 должен быть равен показателю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4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К сельской местности </w:t>
      </w:r>
      <w:hyperlink w:anchor="P3961" w:history="1">
        <w:r>
          <w:rPr>
            <w:color w:val="0000FF"/>
          </w:rPr>
          <w:t>&lt;*&gt;</w:t>
        </w:r>
      </w:hyperlink>
      <w:r>
        <w:t xml:space="preserve"> относятся сельские населенные пункты (поселки, села, станицы, деревни, хутора, кишлаки, аулы и другие сельские населенные пункты).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6) учитывается суммарное количество специалистов с высшим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7) учитывается суммарное количество специалистов со средним образованием по специальности "Адаптивная физическая культура и спорт",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8) учитывается суммарное количество специалистов прошедших переквалификацию по специальности "Адаптивная физическая культура и спорт", и иных специалистов проводящих физкультурно-оздоровительную или спортивную работу, а также лечебную физическую культуру среди инвалидов,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учитывается численность лиц с ограниченными возможностями здоровья и инвалидов, занимающихся общей физической подготовкой или избранным видом спорта, указанных в </w:t>
      </w:r>
      <w:hyperlink w:anchor="P151" w:history="1">
        <w:r>
          <w:rPr>
            <w:color w:val="0000FF"/>
          </w:rPr>
          <w:t>строках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 с 10 по 15.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 должен быть равен сумме итоговых показателей </w:t>
      </w:r>
      <w:hyperlink w:anchor="P130" w:history="1">
        <w:r>
          <w:rPr>
            <w:color w:val="0000FF"/>
          </w:rPr>
          <w:t>строк 01</w:t>
        </w:r>
      </w:hyperlink>
      <w:r>
        <w:t xml:space="preserve"> граф с 17 по 21.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" w:history="1">
        <w:r>
          <w:rPr>
            <w:color w:val="0000FF"/>
          </w:rPr>
          <w:t>графы 9</w:t>
        </w:r>
      </w:hyperlink>
      <w:r>
        <w:t xml:space="preserve"> выделяются: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- в </w:t>
      </w:r>
      <w:hyperlink w:anchor="P117" w:history="1">
        <w:r>
          <w:rPr>
            <w:color w:val="0000FF"/>
          </w:rPr>
          <w:t>графе 10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0 до 3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8" w:history="1">
        <w:r>
          <w:rPr>
            <w:color w:val="0000FF"/>
          </w:rPr>
          <w:t>графе 11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4 до 5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9" w:history="1">
        <w:r>
          <w:rPr>
            <w:color w:val="0000FF"/>
          </w:rPr>
          <w:t>графе 12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6 до 18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0" w:history="1">
        <w:r>
          <w:rPr>
            <w:color w:val="0000FF"/>
          </w:rPr>
          <w:t>графе 13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19 до 59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1" w:history="1">
        <w:r>
          <w:rPr>
            <w:color w:val="0000FF"/>
          </w:rPr>
          <w:t>графе 14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60 до 79 лет (включительно);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2" w:history="1">
        <w:r>
          <w:rPr>
            <w:color w:val="0000FF"/>
          </w:rPr>
          <w:t>графе 15</w:t>
        </w:r>
      </w:hyperlink>
      <w:r>
        <w:t xml:space="preserve"> </w:t>
      </w:r>
      <w:proofErr w:type="gramStart"/>
      <w:r>
        <w:t>занимающиеся</w:t>
      </w:r>
      <w:proofErr w:type="gramEnd"/>
      <w:r>
        <w:t xml:space="preserve"> в возрасте от 80 лет и старше;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23" w:history="1">
        <w:r>
          <w:rPr>
            <w:color w:val="0000FF"/>
          </w:rPr>
          <w:t>графе 16</w:t>
        </w:r>
      </w:hyperlink>
      <w:r>
        <w:t xml:space="preserve"> занимающиеся в сельской местности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16 должен быть равен показателям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9 и </w:t>
      </w:r>
      <w:hyperlink w:anchor="P679" w:history="1">
        <w:r>
          <w:rPr>
            <w:color w:val="0000FF"/>
          </w:rPr>
          <w:t>строки 27</w:t>
        </w:r>
      </w:hyperlink>
      <w:r>
        <w:t xml:space="preserve"> графы 16.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9) должен быть больше или равен итоговому показателю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IV). Равенство итоговых показателей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9, раздел I) и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(графа 4, раздел IV) означает то, что в отчете отражена только спортивная работа, а физкультурно-оздоровительная работа и лечебная физическая культура не проводится.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учитываются лица, имеющие инвалидность по общему заболеванию.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17)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учитываются лица с интеллектуальными нарушениями, в том числе участники специальной олимпиады России.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18)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учитываются лица с нарушением зрения.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19) складывается из суммарных показателей </w:t>
      </w:r>
      <w:hyperlink w:anchor="P151" w:history="1">
        <w:r>
          <w:rPr>
            <w:color w:val="0000FF"/>
          </w:rPr>
          <w:t>строка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строка 01</w:t>
        </w:r>
      </w:hyperlink>
      <w:r>
        <w:t xml:space="preserve"> (графа 20) учитываются лица с нарушением слуха.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20)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учитываются лица с поражением опорно-двигательного аппарата (далее - ОДА). Итоговый показатель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(графа 21) складывается из суммарных показателей </w:t>
      </w:r>
      <w:hyperlink w:anchor="P151" w:history="1">
        <w:r>
          <w:rPr>
            <w:color w:val="0000FF"/>
          </w:rPr>
          <w:t>строк 02</w:t>
        </w:r>
      </w:hyperlink>
      <w:r>
        <w:t xml:space="preserve">, </w:t>
      </w:r>
      <w:hyperlink w:anchor="P383" w:history="1">
        <w:r>
          <w:rPr>
            <w:color w:val="0000FF"/>
          </w:rPr>
          <w:t>13</w:t>
        </w:r>
      </w:hyperlink>
      <w:r>
        <w:t xml:space="preserve">, </w:t>
      </w:r>
      <w:hyperlink w:anchor="P552" w:history="1">
        <w:r>
          <w:rPr>
            <w:color w:val="0000FF"/>
          </w:rPr>
          <w:t>21</w:t>
        </w:r>
      </w:hyperlink>
      <w:r>
        <w:t xml:space="preserve">, </w:t>
      </w:r>
      <w:hyperlink w:anchor="P637" w:history="1">
        <w:r>
          <w:rPr>
            <w:color w:val="0000FF"/>
          </w:rPr>
          <w:t>25</w:t>
        </w:r>
      </w:hyperlink>
      <w:r>
        <w:t xml:space="preserve">, </w:t>
      </w:r>
      <w:hyperlink w:anchor="P658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итоговом показателе </w:t>
      </w:r>
      <w:hyperlink w:anchor="P151" w:history="1">
        <w:r>
          <w:rPr>
            <w:color w:val="0000FF"/>
          </w:rPr>
          <w:t>строки 02</w:t>
        </w:r>
      </w:hyperlink>
      <w:r>
        <w:t xml:space="preserve"> (графы 3 - 21) учитывается суммарный показатель </w:t>
      </w:r>
      <w:hyperlink w:anchor="P173" w:history="1">
        <w:r>
          <w:rPr>
            <w:color w:val="0000FF"/>
          </w:rPr>
          <w:t>строк 03</w:t>
        </w:r>
      </w:hyperlink>
      <w:r>
        <w:t xml:space="preserve"> - </w:t>
      </w:r>
      <w:hyperlink w:anchor="P362" w:history="1">
        <w:r>
          <w:rPr>
            <w:color w:val="0000FF"/>
          </w:rPr>
          <w:t>12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физической культуры и спорта,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строке 03</w:t>
        </w:r>
      </w:hyperlink>
      <w:r>
        <w:t xml:space="preserve"> учитывается физкультурно-оздоровительная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94" w:history="1">
        <w:r>
          <w:rPr>
            <w:color w:val="0000FF"/>
          </w:rPr>
          <w:t>строке 04</w:t>
        </w:r>
      </w:hyperlink>
      <w:r>
        <w:t xml:space="preserve"> учитывается физкультурно-оздоровительная и спортивная работа в физкультурно-оздоровительных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15" w:history="1">
        <w:r>
          <w:rPr>
            <w:color w:val="0000FF"/>
          </w:rPr>
          <w:t>строке 05</w:t>
        </w:r>
      </w:hyperlink>
      <w:r>
        <w:t xml:space="preserve"> учитывается физкультурно-оздоровительная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36" w:history="1">
        <w:r>
          <w:rPr>
            <w:color w:val="0000FF"/>
          </w:rPr>
          <w:t>строке 06</w:t>
        </w:r>
      </w:hyperlink>
      <w:r>
        <w:t xml:space="preserve"> учитывается физкультурно-оздоровительная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строке 07</w:t>
        </w:r>
      </w:hyperlink>
      <w:r>
        <w:t xml:space="preserve"> учитывается физкультурно-оздоровительная и спортивная работа в спортивных учреждениях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78" w:history="1">
        <w:r>
          <w:rPr>
            <w:color w:val="0000FF"/>
          </w:rPr>
          <w:t>строке 08</w:t>
        </w:r>
      </w:hyperlink>
      <w:r>
        <w:t xml:space="preserve"> учитывается физкультурно-оздоровительная и спортивная работа в отделениях, группах, смешанных группах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строке 09</w:t>
        </w:r>
      </w:hyperlink>
      <w:r>
        <w:t xml:space="preserve"> учитывается физкультурно-оздоровительная и спортивная работа в училищах олимпийского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строке 10</w:t>
        </w:r>
      </w:hyperlink>
      <w:r>
        <w:t xml:space="preserve"> учитывается физкультурно-оздоровительная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41" w:history="1">
        <w:r>
          <w:rPr>
            <w:color w:val="0000FF"/>
          </w:rPr>
          <w:t>строке 11</w:t>
        </w:r>
      </w:hyperlink>
      <w:r>
        <w:t xml:space="preserve"> учитывается физкультурно-оздоровительная и спортивная работа в школах высшего спортивного мастерства, специализированных детско-юношеских школах олимпийского резерва,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62" w:history="1">
        <w:r>
          <w:rPr>
            <w:color w:val="0000FF"/>
          </w:rPr>
          <w:t>строке 12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383" w:history="1">
        <w:r>
          <w:rPr>
            <w:color w:val="0000FF"/>
          </w:rPr>
          <w:t>строки 13</w:t>
        </w:r>
      </w:hyperlink>
      <w:r>
        <w:t xml:space="preserve"> (графы 3 - 21) учитывается суммарный показатель </w:t>
      </w:r>
      <w:hyperlink w:anchor="P405" w:history="1">
        <w:r>
          <w:rPr>
            <w:color w:val="0000FF"/>
          </w:rPr>
          <w:t>строк 14</w:t>
        </w:r>
      </w:hyperlink>
      <w:r>
        <w:t xml:space="preserve"> - </w:t>
      </w:r>
      <w:hyperlink w:anchor="P531" w:history="1">
        <w:r>
          <w:rPr>
            <w:color w:val="0000FF"/>
          </w:rPr>
          <w:t>20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образования,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405" w:history="1">
        <w:r>
          <w:rPr>
            <w:color w:val="0000FF"/>
          </w:rPr>
          <w:t>строке 14</w:t>
        </w:r>
      </w:hyperlink>
      <w:r>
        <w:t xml:space="preserve"> учитывается физкультурно-оздоровительная и спортивная работа в дошкольных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26" w:history="1">
        <w:r>
          <w:rPr>
            <w:color w:val="0000FF"/>
          </w:rPr>
          <w:t>строке 15</w:t>
        </w:r>
      </w:hyperlink>
      <w:r>
        <w:t xml:space="preserve"> учитывается физкультурно-оздоровительная и спортивная работа в организациях дополнительного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47" w:history="1">
        <w:r>
          <w:rPr>
            <w:color w:val="0000FF"/>
          </w:rPr>
          <w:t>строке 16</w:t>
        </w:r>
      </w:hyperlink>
      <w:r>
        <w:t xml:space="preserve"> учитывается физкультурно-оздоровительная и спортивная работа в общеобразовательных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68" w:history="1">
        <w:r>
          <w:rPr>
            <w:color w:val="0000FF"/>
          </w:rPr>
          <w:t>строке 17</w:t>
        </w:r>
      </w:hyperlink>
      <w:r>
        <w:t xml:space="preserve"> учитывается физкультурно-оздоровительная и спортивная работа в отдельных организациях, осуществляющих образовательную деятельность по адаптированным основам образовательных программ.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489" w:history="1">
        <w:r>
          <w:rPr>
            <w:color w:val="0000FF"/>
          </w:rPr>
          <w:t>строке 18</w:t>
        </w:r>
      </w:hyperlink>
      <w:r>
        <w:t xml:space="preserve"> учитывается физкультурно-оздоровительная и спортивная работа в образовательных организациях высшего образования.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10" w:history="1">
        <w:r>
          <w:rPr>
            <w:color w:val="0000FF"/>
          </w:rPr>
          <w:t>строке 19</w:t>
        </w:r>
      </w:hyperlink>
      <w:r>
        <w:t xml:space="preserve"> учитывается физкультурно-оздоровительная и спортивная работа в профессиональных образовательных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строке 20</w:t>
        </w:r>
      </w:hyperlink>
      <w:r>
        <w:t xml:space="preserve"> учитываются формы физкультурно-оздоровительной и спортивной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итоговом показателе </w:t>
      </w:r>
      <w:hyperlink w:anchor="P552" w:history="1">
        <w:r>
          <w:rPr>
            <w:color w:val="0000FF"/>
          </w:rPr>
          <w:t>строки 21</w:t>
        </w:r>
      </w:hyperlink>
      <w:r>
        <w:t xml:space="preserve"> (графах 3 - 21) учитывается суммарный показатель </w:t>
      </w:r>
      <w:hyperlink w:anchor="P574" w:history="1">
        <w:r>
          <w:rPr>
            <w:color w:val="0000FF"/>
          </w:rPr>
          <w:t>строк 22</w:t>
        </w:r>
      </w:hyperlink>
      <w:r>
        <w:t xml:space="preserve"> - </w:t>
      </w:r>
      <w:hyperlink w:anchor="P616" w:history="1">
        <w:r>
          <w:rPr>
            <w:color w:val="0000FF"/>
          </w:rPr>
          <w:t>24</w:t>
        </w:r>
      </w:hyperlink>
      <w:r>
        <w:t xml:space="preserve"> - количество учреждений, предприятий, объединений, организаций, проводящих физкультурно-оздоровительную и спортивную работу в сфере труда и социальной защиты, указанных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74" w:history="1">
        <w:r>
          <w:rPr>
            <w:color w:val="0000FF"/>
          </w:rPr>
          <w:t>строке 22</w:t>
        </w:r>
      </w:hyperlink>
      <w:r>
        <w:t xml:space="preserve"> учитывается физкультурно-оздоровительная, спортивная работа и реабилитационная работа в психоневрологических интернатах.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595" w:history="1">
        <w:r>
          <w:rPr>
            <w:color w:val="0000FF"/>
          </w:rPr>
          <w:t>строке 23</w:t>
        </w:r>
      </w:hyperlink>
      <w:r>
        <w:t xml:space="preserve"> учитывается физкультурно-оздоровительная, спортивная работа и реабилитационная работа в реабилитационных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16" w:history="1">
        <w:r>
          <w:rPr>
            <w:color w:val="0000FF"/>
          </w:rPr>
          <w:t>строке 24</w:t>
        </w:r>
      </w:hyperlink>
      <w:r>
        <w:t xml:space="preserve"> учитываются формы физкультурно-оздоровительной, спортивной работы и реабилитационной работы, проводимой с людьми с ограниченными возможностями здоровья и инвалидами, в других учреждениях и организациях, не вошедших в перечень данного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37" w:history="1">
        <w:r>
          <w:rPr>
            <w:color w:val="0000FF"/>
          </w:rPr>
          <w:t>строке 25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сфере здравоохранения,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658" w:history="1">
        <w:r>
          <w:rPr>
            <w:color w:val="0000FF"/>
          </w:rPr>
          <w:t>строке 26</w:t>
        </w:r>
      </w:hyperlink>
      <w:r>
        <w:t xml:space="preserve"> по всем графам учитываются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во Всероссийских общественных организациях, указанные в перечне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679" w:history="1">
        <w:r>
          <w:rPr>
            <w:color w:val="0000FF"/>
          </w:rPr>
          <w:t>строке 27</w:t>
        </w:r>
      </w:hyperlink>
      <w:r>
        <w:t xml:space="preserve"> по всем графам выделяются показатели физкультурно-оздоровительной, спортивной работы и реабилитационной работы, проводимой с людьми с ограниченными возможностями здоровья и инвалидами в сельской местности, указанные в перечне раздела.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II. Спортивные сооружения, приспособленные</w:t>
      </w:r>
    </w:p>
    <w:p w:rsidR="001433F2" w:rsidRDefault="001433F2">
      <w:pPr>
        <w:pStyle w:val="ConsPlusNormal"/>
        <w:jc w:val="center"/>
      </w:pPr>
      <w:r>
        <w:t>к занятиям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физической культуры и спорта отчитываются за все спортивные сооружения, находящиеся на территории данного образования,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доступности спортивных сооружений рекомендуется руководствоваться </w:t>
      </w:r>
      <w:hyperlink r:id="rId6" w:history="1">
        <w:r>
          <w:rPr>
            <w:color w:val="0000FF"/>
          </w:rPr>
          <w:t>Методическими рекомендациями</w:t>
        </w:r>
      </w:hyperlink>
      <w:r>
        <w:t>, выполнение которых обеспечивает доступ спортсменов-инвалидов и инвалидов из числа зрителей к спортивным мероприятиям, с учетом особых потребностей инвалидов, утвержденными приказом Минспорта России от 9 июля 2014 г. N 578.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>Учету подлежат спортивные сооружения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>Детско-юношеские спортивные школы (далее - ДЮСШ), специализированные детско-юношеские спортивные школы олимпийского резерва (далее - СДЮШОР), детско-юношеские спортивно-адаптивные школы (далее - ДЮСАШ), специализированные детско-юношеские спортивно-адаптивные школы (далее - СДЮШАС), детские оздоровительно-образовательные центры (далее - ДООЦ), школы высшего спортивного мастерства (далее - ШВСМ) и другие организации, не учитывают арендуемые ими спортивные сооружения.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0" w:history="1">
        <w:r>
          <w:rPr>
            <w:color w:val="0000FF"/>
          </w:rPr>
          <w:t>графе 4</w:t>
        </w:r>
      </w:hyperlink>
      <w:r>
        <w:t xml:space="preserve"> (из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оснащенных) выделяются спортивные сооружения, оснащенные для занятий физической культурой и спортом лиц с </w:t>
      </w:r>
      <w:r>
        <w:lastRenderedPageBreak/>
        <w:t>ограниченными возможностями здоровья и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При определении оснащенности спортивных сооружений рекомендуется руководствоваться Табелем оснащения спортивных сооружений массового пользования спортивным оборудованием и инвентарем по видам спорта среди инвалидов, утвержденным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физической культуре и спорту от 21 июня 2006 г. N 386.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Спортивные сооружения, не вошедшие в перечень </w:t>
      </w:r>
      <w:hyperlink w:anchor="P700" w:history="1">
        <w:r>
          <w:rPr>
            <w:color w:val="0000FF"/>
          </w:rPr>
          <w:t>раздела</w:t>
        </w:r>
      </w:hyperlink>
      <w:r>
        <w:t xml:space="preserve">, учитываются в </w:t>
      </w:r>
      <w:hyperlink w:anchor="P1054" w:history="1">
        <w:r>
          <w:rPr>
            <w:color w:val="0000FF"/>
          </w:rPr>
          <w:t>строке 44</w:t>
        </w:r>
      </w:hyperlink>
      <w:r>
        <w:t xml:space="preserve"> "Другие спортивные сооружения" (графа 3).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768" w:history="1">
        <w:r w:rsidR="001433F2">
          <w:rPr>
            <w:color w:val="0000FF"/>
          </w:rPr>
          <w:t>Строка 29</w:t>
        </w:r>
      </w:hyperlink>
      <w:r w:rsidR="001433F2">
        <w:t xml:space="preserve"> (графа 3) "Стадионы с трибунами на 1500 мест и более". Учитываются открытые комплексные сооружения, включающие спортивное ядро с трибунами на 1500 мест и более. В состав спортивного ядра входят: основное игровое футбольное поле, окаймленное беговой дорожкой и места для занятий легкой атлетикой. Тренировочные (запасные) поля стадиона учитываются в </w:t>
      </w:r>
      <w:hyperlink w:anchor="P787" w:history="1">
        <w:r w:rsidR="001433F2">
          <w:rPr>
            <w:color w:val="0000FF"/>
          </w:rPr>
          <w:t>строке 30</w:t>
        </w:r>
      </w:hyperlink>
      <w:r w:rsidR="001433F2">
        <w:t xml:space="preserve"> - "плоскостные спортивные сооружения".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787" w:history="1">
        <w:r w:rsidR="001433F2">
          <w:rPr>
            <w:color w:val="0000FF"/>
          </w:rPr>
          <w:t>Строка 30</w:t>
        </w:r>
      </w:hyperlink>
      <w:r w:rsidR="001433F2">
        <w:t xml:space="preserve"> (графа 3) "Плоскостные спортивные сооружения". Учитываются площадки для игры в волейбол, баскетбол, бадминтон,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стрельбы из лука, спортивные ядра и тренировочные (запасные) футбольные поля стадионов.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806" w:history="1">
        <w:r w:rsidR="001433F2">
          <w:rPr>
            <w:color w:val="0000FF"/>
          </w:rPr>
          <w:t>Строка 31</w:t>
        </w:r>
      </w:hyperlink>
      <w:r w:rsidR="001433F2">
        <w:t xml:space="preserve"> (графа 3) "Спортивные залы". Учету подлежат крытые сооружения, оборудованные для определенного вида занятий или универсального назначения.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825" w:history="1">
        <w:r w:rsidR="001433F2">
          <w:rPr>
            <w:color w:val="0000FF"/>
          </w:rPr>
          <w:t>Строка 32</w:t>
        </w:r>
      </w:hyperlink>
      <w:r w:rsidR="001433F2">
        <w:t xml:space="preserve"> (графа 3) "Дворцы спорта - всего". Учитываются крытые сооружения (арены) на 1000 и более мест для зрителей. Размеры основной площадки зрительного зала должны позволять проводить соревнования по игровым видам спорта или, как минимум, вмещать хоккейную коробку с размерами, определенными правилами соревнований.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844" w:history="1">
        <w:r w:rsidR="001433F2">
          <w:rPr>
            <w:color w:val="0000FF"/>
          </w:rPr>
          <w:t>Строка 33</w:t>
        </w:r>
      </w:hyperlink>
      <w:r w:rsidR="001433F2">
        <w:t xml:space="preserve"> (графа 3) "из них с искусственным льдом". Учитываются крытые сооружения, имеющие стандартные ледовые площадки с искусственным льдом для хоккея, керлинга и места для зрителей.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863" w:history="1">
        <w:r w:rsidR="001433F2">
          <w:rPr>
            <w:color w:val="0000FF"/>
          </w:rPr>
          <w:t>Строка 34</w:t>
        </w:r>
      </w:hyperlink>
      <w:r w:rsidR="001433F2">
        <w:t xml:space="preserve"> (графа 3) "Крытые спортивные объекты с искусственным льдом". Учитываются спортивные объекты с искусственным льдом, не входящие в комплекс дворца спорта.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882" w:history="1">
        <w:r w:rsidR="001433F2">
          <w:rPr>
            <w:color w:val="0000FF"/>
          </w:rPr>
          <w:t>Строка 35</w:t>
        </w:r>
      </w:hyperlink>
      <w:r w:rsidR="001433F2">
        <w:t xml:space="preserve"> (графа 3) "Манежи - всего". Учитываются крытые, отдельно стоящие или встроенные сооружения, размеры которых отвечают требованиям учебно-тренировочного процесса и правилам соревнований по </w:t>
      </w:r>
      <w:r w:rsidR="001433F2">
        <w:lastRenderedPageBreak/>
        <w:t xml:space="preserve">видам спорта. Возможно устройство мест для зрителей. В </w:t>
      </w:r>
      <w:hyperlink w:anchor="P902" w:history="1">
        <w:r w:rsidR="001433F2">
          <w:rPr>
            <w:color w:val="0000FF"/>
          </w:rPr>
          <w:t>строках 36</w:t>
        </w:r>
      </w:hyperlink>
      <w:r w:rsidR="001433F2">
        <w:t xml:space="preserve"> и </w:t>
      </w:r>
      <w:hyperlink w:anchor="P921" w:history="1">
        <w:r w:rsidR="001433F2">
          <w:rPr>
            <w:color w:val="0000FF"/>
          </w:rPr>
          <w:t>37</w:t>
        </w:r>
      </w:hyperlink>
      <w:r w:rsidR="001433F2">
        <w:t xml:space="preserve"> отдельно выделяются манежи легкоатлетические и футбольные. Если манеж используется и для легкой атлетики, и для футбола, то учитывается он по тому названию, которое первым стоит в паспорте спортивного сооружения. Показатель </w:t>
      </w:r>
      <w:hyperlink w:anchor="P882" w:history="1">
        <w:r w:rsidR="001433F2">
          <w:rPr>
            <w:color w:val="0000FF"/>
          </w:rPr>
          <w:t>строка 35</w:t>
        </w:r>
      </w:hyperlink>
      <w:r w:rsidR="001433F2">
        <w:t xml:space="preserve"> (графа 3) может быть больше суммарного показателя </w:t>
      </w:r>
      <w:hyperlink w:anchor="P902" w:history="1">
        <w:r w:rsidR="001433F2">
          <w:rPr>
            <w:color w:val="0000FF"/>
          </w:rPr>
          <w:t>строк 36</w:t>
        </w:r>
      </w:hyperlink>
      <w:r w:rsidR="001433F2">
        <w:t xml:space="preserve"> и </w:t>
      </w:r>
      <w:hyperlink w:anchor="P921" w:history="1">
        <w:r w:rsidR="001433F2">
          <w:rPr>
            <w:color w:val="0000FF"/>
          </w:rPr>
          <w:t>37</w:t>
        </w:r>
      </w:hyperlink>
      <w:r w:rsidR="001433F2">
        <w:t xml:space="preserve"> (графа 3) за счет манежей, предназначенных для других видов спорта.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940" w:history="1">
        <w:r w:rsidR="001433F2">
          <w:rPr>
            <w:color w:val="0000FF"/>
          </w:rPr>
          <w:t>Строка 38</w:t>
        </w:r>
      </w:hyperlink>
      <w:r w:rsidR="001433F2">
        <w:t xml:space="preserve"> (графа 3) "Велотреки, велодромы". Учитываются велотреки </w:t>
      </w:r>
      <w:hyperlink w:anchor="P3961" w:history="1">
        <w:r w:rsidR="001433F2">
          <w:rPr>
            <w:color w:val="0000FF"/>
          </w:rPr>
          <w:t>&lt;*&gt;</w:t>
        </w:r>
      </w:hyperlink>
      <w:r w:rsidR="001433F2">
        <w:t xml:space="preserve"> - открытые или крытые спортивные сооружения, включающие полотно с наклоненными по расчету виражами, и велодромы </w:t>
      </w:r>
      <w:hyperlink w:anchor="P3961" w:history="1">
        <w:r w:rsidR="001433F2">
          <w:rPr>
            <w:color w:val="0000FF"/>
          </w:rPr>
          <w:t>&lt;*&gt;</w:t>
        </w:r>
      </w:hyperlink>
      <w:r w:rsidR="001433F2">
        <w:t xml:space="preserve"> - крытые сооружения, включающие велотрек и места для зрителей.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959" w:history="1">
        <w:r w:rsidR="001433F2">
          <w:rPr>
            <w:color w:val="0000FF"/>
          </w:rPr>
          <w:t>Строка 39</w:t>
        </w:r>
      </w:hyperlink>
      <w:r w:rsidR="001433F2">
        <w:t xml:space="preserve"> (графа 3) "Плавательные бассейны". Учитываются открытые и крытые ванны плавательных бассейнов, размером не менее 10 x 6 метров.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978" w:history="1">
        <w:r w:rsidR="001433F2">
          <w:rPr>
            <w:color w:val="0000FF"/>
          </w:rPr>
          <w:t>Строка 40</w:t>
        </w:r>
      </w:hyperlink>
      <w:r w:rsidR="001433F2">
        <w:t xml:space="preserve"> (графа 3) "Лыжные базы". Учитываются комплексные сооружения, включающие лыжехранилища, раздевалки, подсобные помещения и трассы для занятий лыжным спортом и для проведения соревнований. В состав трасс может входить лыжный стадион с участком для старта и финиша не менее 400 м в длину и 100 м в ширину с судейским павильоном, трибунами для зрителей.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997" w:history="1">
        <w:r w:rsidR="001433F2">
          <w:rPr>
            <w:color w:val="0000FF"/>
          </w:rPr>
          <w:t>Строка 41</w:t>
        </w:r>
      </w:hyperlink>
      <w:r w:rsidR="001433F2">
        <w:t xml:space="preserve"> (графа 3) "Биатлонные комплексы". Учитываются открытые плоскостные комплексные сооружения, имеющие в своем составе лыжный стадион с трассой от 2,5 до 20 и более километров, стрельбище (не менее 20 мишеней для </w:t>
      </w:r>
      <w:proofErr w:type="gramStart"/>
      <w:r w:rsidR="001433F2">
        <w:t>стрельбы</w:t>
      </w:r>
      <w:proofErr w:type="gramEnd"/>
      <w:r w:rsidR="001433F2">
        <w:t xml:space="preserve"> стоя и лежа с установкой огневого рубежа до 50 м), стартовый и финишный городки, штрафной круг не менее 150 м, хранилища для стрелкового оружия и боеприпасов, лыжного инвентаря и оборудования, раздевалки, душевые, подсобные помещения. Возможно размещение трибун для зрителей.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1016" w:history="1">
        <w:r w:rsidR="001433F2">
          <w:rPr>
            <w:color w:val="0000FF"/>
          </w:rPr>
          <w:t>Строка 42</w:t>
        </w:r>
      </w:hyperlink>
      <w:r w:rsidR="001433F2">
        <w:t xml:space="preserve"> (графа 3) "Сооружения для стрелковых видов спорта". Учитываются крытые или открытые сооружения для стрельбы из различных видов оружия: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тир (крытое или открытое сооружение для стрельбы из боевого, спортивного оружия, в т.ч. стрельбы из лука);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стрельбище (комплекс, состоящий из крытых или открытых сооружений для различных видов стрельбы);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- стенд (круглый, траншейный, совмещенный) для стендовой, спортивно-охотничьей стрельбы.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1035" w:history="1">
        <w:r w:rsidR="001433F2">
          <w:rPr>
            <w:color w:val="0000FF"/>
          </w:rPr>
          <w:t>Строка 43</w:t>
        </w:r>
      </w:hyperlink>
      <w:r w:rsidR="001433F2">
        <w:t xml:space="preserve"> (графа 3) "Гребные базы и каналы". Учитывается комплекс </w:t>
      </w:r>
      <w:r w:rsidR="001433F2">
        <w:lastRenderedPageBreak/>
        <w:t>сооружений для занятий гребными, водноспортивными и парусными видами спорта.</w:t>
      </w:r>
    </w:p>
    <w:p w:rsidR="001433F2" w:rsidRDefault="00657D5E">
      <w:pPr>
        <w:pStyle w:val="ConsPlusNormal"/>
        <w:spacing w:before="280"/>
        <w:ind w:firstLine="540"/>
        <w:jc w:val="both"/>
      </w:pPr>
      <w:hyperlink w:anchor="P1054" w:history="1">
        <w:r w:rsidR="001433F2">
          <w:rPr>
            <w:color w:val="0000FF"/>
          </w:rPr>
          <w:t>Строка 44</w:t>
        </w:r>
      </w:hyperlink>
      <w:r w:rsidR="001433F2">
        <w:t xml:space="preserve"> (графа 3) "Другие спортивные сооружения". Учитываются спортивные сооружения, находящиеся на территории данного образования, не вошедшие в предложенный перечень спортивных сооружений </w:t>
      </w:r>
      <w:hyperlink w:anchor="P727" w:history="1">
        <w:r w:rsidR="001433F2">
          <w:rPr>
            <w:color w:val="0000FF"/>
          </w:rPr>
          <w:t>(графа 1)</w:t>
        </w:r>
      </w:hyperlink>
      <w:r w:rsidR="001433F2">
        <w:t>, приспособленные к занятиям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1" w:history="1">
        <w:r>
          <w:rPr>
            <w:color w:val="0000FF"/>
          </w:rPr>
          <w:t>графах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указывается вид собственности спортивных сооружений, </w:t>
      </w:r>
      <w:hyperlink w:anchor="P731" w:history="1">
        <w:r>
          <w:rPr>
            <w:color w:val="0000FF"/>
          </w:rPr>
          <w:t>(графа 5)</w:t>
        </w:r>
      </w:hyperlink>
      <w:r>
        <w:t xml:space="preserve"> - федеральная собственность, </w:t>
      </w:r>
      <w:hyperlink w:anchor="P732" w:history="1">
        <w:r>
          <w:rPr>
            <w:color w:val="0000FF"/>
          </w:rPr>
          <w:t>(графа 6)</w:t>
        </w:r>
      </w:hyperlink>
      <w:r>
        <w:t xml:space="preserve"> - собственность субъектов Российской Федерации, </w:t>
      </w:r>
      <w:hyperlink w:anchor="P733" w:history="1">
        <w:r>
          <w:rPr>
            <w:color w:val="0000FF"/>
          </w:rPr>
          <w:t>(графа 7)</w:t>
        </w:r>
      </w:hyperlink>
      <w:r>
        <w:t xml:space="preserve"> - муниципальная собственность, </w:t>
      </w:r>
      <w:hyperlink w:anchor="P734" w:history="1">
        <w:r>
          <w:rPr>
            <w:color w:val="0000FF"/>
          </w:rPr>
          <w:t>(графа 8)</w:t>
        </w:r>
      </w:hyperlink>
      <w:r>
        <w:t xml:space="preserve"> - другая. Показатель </w:t>
      </w:r>
      <w:hyperlink w:anchor="P729" w:history="1">
        <w:r>
          <w:rPr>
            <w:color w:val="0000FF"/>
          </w:rPr>
          <w:t>графы 3</w:t>
        </w:r>
      </w:hyperlink>
      <w:r>
        <w:t xml:space="preserve"> может быть больше или равен сумме показателей </w:t>
      </w:r>
      <w:hyperlink w:anchor="P731" w:history="1">
        <w:r>
          <w:rPr>
            <w:color w:val="0000FF"/>
          </w:rPr>
          <w:t>граф 5</w:t>
        </w:r>
      </w:hyperlink>
      <w:r>
        <w:t xml:space="preserve">, </w:t>
      </w:r>
      <w:hyperlink w:anchor="P732" w:history="1">
        <w:r>
          <w:rPr>
            <w:color w:val="0000FF"/>
          </w:rPr>
          <w:t>6</w:t>
        </w:r>
      </w:hyperlink>
      <w:r>
        <w:t xml:space="preserve">, </w:t>
      </w:r>
      <w:hyperlink w:anchor="P733" w:history="1">
        <w:r>
          <w:rPr>
            <w:color w:val="0000FF"/>
          </w:rPr>
          <w:t>7</w:t>
        </w:r>
      </w:hyperlink>
      <w:r>
        <w:t xml:space="preserve">, </w:t>
      </w:r>
      <w:hyperlink w:anchor="P734" w:history="1">
        <w:r>
          <w:rPr>
            <w:color w:val="0000FF"/>
          </w:rPr>
          <w:t>8</w:t>
        </w:r>
      </w:hyperlink>
      <w:r>
        <w:t xml:space="preserve"> за счет спортивных сооружений, находящихся в собственности, не указанной в данном разделе.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729" w:history="1">
        <w:r>
          <w:rPr>
            <w:color w:val="0000FF"/>
          </w:rPr>
          <w:t>графы 3</w:t>
        </w:r>
      </w:hyperlink>
      <w:r>
        <w:t xml:space="preserve"> выделяют спортивные сооружения, по всем строкам </w:t>
      </w:r>
      <w:hyperlink w:anchor="P700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органы исполнительной власти субъектов Российской Федерации в области физической культуры и спорта отчитываются за проведение обследования и паспортизацию зданий и помещений, в которых предоставляются услуги инвалидам</w:t>
      </w:r>
      <w:proofErr w:type="gramEnd"/>
      <w:r>
        <w:t>, а также порядков их предоставления, и осуществляют меры по поэтапному повышению значений показателей доступности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5" w:history="1">
        <w:r>
          <w:rPr>
            <w:color w:val="0000FF"/>
          </w:rPr>
          <w:t>графе 9</w:t>
        </w:r>
      </w:hyperlink>
      <w:r>
        <w:t xml:space="preserve"> учитываются объекты спорта, построенные и введенные с 01.07.2016 в эксплуатацию, в которых предоставляются услуги населению, полностью соответствующие требованиям доступности для инвалидов объектов и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6" w:history="1">
        <w:r>
          <w:rPr>
            <w:color w:val="0000FF"/>
          </w:rPr>
          <w:t>графе 10</w:t>
        </w:r>
      </w:hyperlink>
      <w:r>
        <w:t xml:space="preserve"> учитываются существующие спортивные сооружения, которые в результате проведения капитального ремонта, реконструкции, модернизации полностью соответствуют требованиям доступности объектов и услуг для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7" w:history="1">
        <w:r>
          <w:rPr>
            <w:color w:val="0000FF"/>
          </w:rPr>
          <w:t>графе 11</w:t>
        </w:r>
      </w:hyperlink>
      <w:r>
        <w:t xml:space="preserve"> учитываются вновь введенные в эксплуатацию спортивные сооружения, полностью соответствующие требованиям доступности объектов и услуг для инвалидов, в которых предоставляются услуги населению.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38" w:history="1">
        <w:r>
          <w:rPr>
            <w:color w:val="0000FF"/>
          </w:rPr>
          <w:t>графе 12</w:t>
        </w:r>
      </w:hyperlink>
      <w:r>
        <w:t xml:space="preserve"> учитываются спортивные сооружения, имеющие утвержденные паспорта доступности объектов и предоставляемых на них услуг инвалидам.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В </w:t>
      </w:r>
      <w:hyperlink w:anchor="P739" w:history="1">
        <w:r>
          <w:rPr>
            <w:color w:val="0000FF"/>
          </w:rPr>
          <w:t>графе 13</w:t>
        </w:r>
      </w:hyperlink>
      <w:r>
        <w:t xml:space="preserve"> учитываются спортивные сооружения,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объекта, в том числе имеющие: выделенные стоянки автотранспортных средств для инвалидов; сменные кресла-коляски; адаптированные лифты (при необходимости и технической возможности); поручни; пандусы; подъемные платформы (аппарели) (при необходимости и технической возможности);</w:t>
      </w:r>
      <w:proofErr w:type="gramEnd"/>
      <w:r>
        <w:t xml:space="preserve"> раздвижные двери; доступные входные группы; доступные санитарно-гигиенические помещения; достаточная ширина дверных проемов в стенах, лестничных маршей, площадок.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0" w:history="1">
        <w:r>
          <w:rPr>
            <w:color w:val="0000FF"/>
          </w:rPr>
          <w:t>графе 14</w:t>
        </w:r>
      </w:hyperlink>
      <w:r>
        <w:t xml:space="preserve"> учитываются спортивные сооружения, на которых обеспечено сопровождение инвалидов, имеющих стойкие расстройства функции зрения, слуха и самостоятельного передвижения, и оказание им помощи.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1" w:history="1">
        <w:r>
          <w:rPr>
            <w:color w:val="0000FF"/>
          </w:rPr>
          <w:t>графе 15</w:t>
        </w:r>
      </w:hyperlink>
      <w:r>
        <w:t xml:space="preserve"> учитываются спортивные сооружения, на которых предоставляются услуги с использованием русского жестового языка, с допуском сурдопереводчика и тифлосурдопереводчика.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2" w:history="1">
        <w:r>
          <w:rPr>
            <w:color w:val="0000FF"/>
          </w:rPr>
          <w:t>графе 16</w:t>
        </w:r>
      </w:hyperlink>
      <w:r>
        <w:t xml:space="preserve"> учитывается численность штатных сотрудников, предоставляющих услуги инвалидам (проводящих занятия по физической культуре и спорту с инвалидами и лицами с ограниченными возможностями здоровья).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3" w:history="1">
        <w:r>
          <w:rPr>
            <w:color w:val="0000FF"/>
          </w:rPr>
          <w:t>графе 17</w:t>
        </w:r>
      </w:hyperlink>
      <w:r>
        <w:t xml:space="preserve"> учитывается численность штатных сотрудников, прошедших инструктирование или обучение для работы с инвалидами, по вопросам, связанным с обеспечением доступности для них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4" w:history="1">
        <w:r>
          <w:rPr>
            <w:color w:val="0000FF"/>
          </w:rPr>
          <w:t>графе 18</w:t>
        </w:r>
      </w:hyperlink>
      <w:r>
        <w:t xml:space="preserve"> учитывается численность штатных сотрудников, предоставляющих услуги, на которых возложено оказание инвалидам помощи при предоставлении им услуг.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745" w:history="1">
        <w:r>
          <w:rPr>
            <w:color w:val="0000FF"/>
          </w:rPr>
          <w:t>графе 19</w:t>
        </w:r>
      </w:hyperlink>
      <w:r>
        <w:t xml:space="preserve"> по всем строкам учитывается численность спортивных сооружений в сельской местности.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III. Финансирование адаптивной физической культуры</w:t>
      </w:r>
    </w:p>
    <w:p w:rsidR="001433F2" w:rsidRDefault="001433F2">
      <w:pPr>
        <w:pStyle w:val="ConsPlusNormal"/>
        <w:jc w:val="center"/>
      </w:pPr>
      <w:r>
        <w:t>и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proofErr w:type="gramStart"/>
      <w:r>
        <w:t xml:space="preserve">В </w:t>
      </w:r>
      <w:hyperlink w:anchor="P1073" w:history="1">
        <w:r>
          <w:rPr>
            <w:color w:val="0000FF"/>
          </w:rPr>
          <w:t>разделе III</w:t>
        </w:r>
      </w:hyperlink>
      <w:r>
        <w:t xml:space="preserve"> "Финансирование адаптивной физической культуры и спорта" учитываются кассовые расходы органов государственного управления физической культурой и спортом, выделенные из бюджетов всех уровней и полученные из внебюджетных источников на развитие адаптивной физической культуры и спорта.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097" w:history="1">
        <w:r>
          <w:rPr>
            <w:color w:val="0000FF"/>
          </w:rPr>
          <w:t>строке 45</w:t>
        </w:r>
      </w:hyperlink>
      <w:r>
        <w:t xml:space="preserve"> (графа 3) "Расходы - всего" учитываются средства бюджетов всех уровней, расходуемые на развитие адаптивной физической культуры и спорта в течение отчетного года, включая статью "прочие расходы". Показатель </w:t>
      </w:r>
      <w:hyperlink w:anchor="P1097" w:history="1">
        <w:r>
          <w:rPr>
            <w:color w:val="0000FF"/>
          </w:rPr>
          <w:t>строки 45</w:t>
        </w:r>
      </w:hyperlink>
      <w:r>
        <w:t xml:space="preserve"> должен быть больше или равен сумме показателей </w:t>
      </w:r>
      <w:hyperlink w:anchor="P1106" w:history="1">
        <w:r>
          <w:rPr>
            <w:color w:val="0000FF"/>
          </w:rPr>
          <w:t>строк 46</w:t>
        </w:r>
      </w:hyperlink>
      <w:r>
        <w:t xml:space="preserve">, </w:t>
      </w:r>
      <w:hyperlink w:anchor="P1114" w:history="1">
        <w:r>
          <w:rPr>
            <w:color w:val="0000FF"/>
          </w:rPr>
          <w:t>47</w:t>
        </w:r>
      </w:hyperlink>
      <w:r>
        <w:t xml:space="preserve">, </w:t>
      </w:r>
      <w:hyperlink w:anchor="P1122" w:history="1">
        <w:r>
          <w:rPr>
            <w:color w:val="0000FF"/>
          </w:rPr>
          <w:t>48</w:t>
        </w:r>
      </w:hyperlink>
      <w:r>
        <w:t xml:space="preserve"> и </w:t>
      </w:r>
      <w:hyperlink w:anchor="P1130" w:history="1">
        <w:r>
          <w:rPr>
            <w:color w:val="0000FF"/>
          </w:rPr>
          <w:t>49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0" w:history="1">
        <w:r>
          <w:rPr>
            <w:color w:val="0000FF"/>
          </w:rPr>
          <w:t>графе 3</w:t>
        </w:r>
      </w:hyperlink>
      <w:r>
        <w:t xml:space="preserve"> "всего" учитываются средства бюджетов всех уровней, выделенные на развитие адаптивной физической культуры и спорта. Показатель </w:t>
      </w:r>
      <w:hyperlink w:anchor="P1090" w:history="1">
        <w:r>
          <w:rPr>
            <w:color w:val="0000FF"/>
          </w:rPr>
          <w:t>графы 3</w:t>
        </w:r>
      </w:hyperlink>
      <w:r>
        <w:t xml:space="preserve"> должен быть равен сумме </w:t>
      </w:r>
      <w:hyperlink w:anchor="P1091" w:history="1">
        <w:r>
          <w:rPr>
            <w:color w:val="0000FF"/>
          </w:rPr>
          <w:t>граф 4</w:t>
        </w:r>
      </w:hyperlink>
      <w:r>
        <w:t xml:space="preserve">, </w:t>
      </w:r>
      <w:hyperlink w:anchor="P1092" w:history="1">
        <w:r>
          <w:rPr>
            <w:color w:val="0000FF"/>
          </w:rPr>
          <w:t>5</w:t>
        </w:r>
      </w:hyperlink>
      <w:r>
        <w:t xml:space="preserve"> и </w:t>
      </w:r>
      <w:hyperlink w:anchor="P1093" w:history="1">
        <w:r>
          <w:rPr>
            <w:color w:val="0000FF"/>
          </w:rPr>
          <w:t>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06" w:history="1">
        <w:r>
          <w:rPr>
            <w:color w:val="0000FF"/>
          </w:rPr>
          <w:t>строке 46</w:t>
        </w:r>
      </w:hyperlink>
      <w:r>
        <w:t xml:space="preserve"> (графа 3) учитываются средства бюджетов всех уровней, расходуемые на проведение спортивных мероприятий среди людей с ограниченными возможностями здоровья и инвалидами (например, соревнований, учебно-тренировочных сборов)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14" w:history="1">
        <w:r>
          <w:rPr>
            <w:color w:val="0000FF"/>
          </w:rPr>
          <w:t>строке 47</w:t>
        </w:r>
      </w:hyperlink>
      <w:r>
        <w:t xml:space="preserve"> (графа 3) учитываются средства бюджетов всех уровней, выделенные на приобретение спортивного оборудования и инвентаря в течение отчетного года.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22" w:history="1">
        <w:r>
          <w:rPr>
            <w:color w:val="0000FF"/>
          </w:rPr>
          <w:t>строке 48</w:t>
        </w:r>
      </w:hyperlink>
      <w:r>
        <w:t xml:space="preserve"> (графа 3) учитываются средства, выделяемые в течение отчетного года из бюджетов всех уровней согласно сметам расходов на проведение капитального ремонта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0" w:history="1">
        <w:r>
          <w:rPr>
            <w:color w:val="0000FF"/>
          </w:rPr>
          <w:t>строке 49</w:t>
        </w:r>
      </w:hyperlink>
      <w:r>
        <w:t xml:space="preserve"> (графа 3) учитываются инвестиции (средства), выделяемые в течение отчетного года из бюджетов всех уровней на реконструкцию и строительство спортивных сооружений.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1" w:history="1">
        <w:r>
          <w:rPr>
            <w:color w:val="0000FF"/>
          </w:rPr>
          <w:t>графе 4</w:t>
        </w:r>
      </w:hyperlink>
      <w:r>
        <w:t xml:space="preserve"> "из федерального бюджета" учитываются средства федерального бюджета,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2" w:history="1">
        <w:r>
          <w:rPr>
            <w:color w:val="0000FF"/>
          </w:rPr>
          <w:t>графе 5</w:t>
        </w:r>
      </w:hyperlink>
      <w:r>
        <w:t xml:space="preserve"> "бюджет субъекта Российской Федерации" учитываются средства бюджета субъекта Российской Федерации, выделенные в течение отчетного года на развитие адаптивной физической культуры и спорта из бюджета субъекта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3" w:history="1">
        <w:r>
          <w:rPr>
            <w:color w:val="0000FF"/>
          </w:rPr>
          <w:t>графе 6</w:t>
        </w:r>
      </w:hyperlink>
      <w:r>
        <w:t xml:space="preserve"> "бюджет муниципального образования" учитываются средства бюджета муниципального образования, выделенные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4" w:history="1">
        <w:r>
          <w:rPr>
            <w:color w:val="0000FF"/>
          </w:rPr>
          <w:t>графе 7</w:t>
        </w:r>
      </w:hyperlink>
      <w:r>
        <w:t xml:space="preserve"> "Получено из внебюджетных источников" учитываются средства, полученные из внебюджетных источников (например, средства спонсоров, инвесторов) в течение отчетного года на развитие адаптивной физической культуры и спорта.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095" w:history="1">
        <w:r>
          <w:rPr>
            <w:color w:val="0000FF"/>
          </w:rPr>
          <w:t>графе 8</w:t>
        </w:r>
      </w:hyperlink>
      <w:r>
        <w:t xml:space="preserve"> "Израсходовано на развитие адаптивной физической культуры </w:t>
      </w:r>
      <w:r>
        <w:lastRenderedPageBreak/>
        <w:t xml:space="preserve">и спорта - всего" учитывается сумма средств, выделенных из бюджетов всех уровней </w:t>
      </w:r>
      <w:hyperlink w:anchor="P1090" w:history="1">
        <w:r>
          <w:rPr>
            <w:color w:val="0000FF"/>
          </w:rPr>
          <w:t>(графа 3)</w:t>
        </w:r>
      </w:hyperlink>
      <w:r>
        <w:t xml:space="preserve"> и полученных из внебюджетных источников </w:t>
      </w:r>
      <w:hyperlink w:anchor="P1094" w:history="1">
        <w:r>
          <w:rPr>
            <w:color w:val="0000FF"/>
          </w:rPr>
          <w:t>(графа 7)</w:t>
        </w:r>
      </w:hyperlink>
      <w:r>
        <w:t>, израсходованных на развитие адаптивной физической культуры и спорта в течение отчетного года.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IV. Развитие видов спорта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1138" w:history="1">
        <w:proofErr w:type="gramStart"/>
        <w:r>
          <w:rPr>
            <w:color w:val="0000FF"/>
          </w:rPr>
          <w:t>разделе</w:t>
        </w:r>
        <w:proofErr w:type="gramEnd"/>
      </w:hyperlink>
      <w:r>
        <w:t xml:space="preserve"> ведется учет занимающихся в ДЮСШ, СДЮШОР, ДЮСАШ, СДЮСАШ, ШВСМ, ДООЦ, центрах спортивной подготовки, училищах олимпийского резерва, физкультурно-спортивных клубах по спортивным дисциплинам, включенных во Всероссийский реестр видов спорта (далее - ВРВС)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Учет занимающихся инвалидов и лиц с ограниченными возможностями здоровья в учреждениях, осуществляющих спортивную подготовку, а также отделениях в учреждениях осуществляющих спортивную подготовку, ведется только в форме федерального статистического наблюдения </w:t>
      </w:r>
      <w:hyperlink w:anchor="P35" w:history="1">
        <w:r>
          <w:rPr>
            <w:color w:val="0000FF"/>
          </w:rPr>
          <w:t>3-АФК</w:t>
        </w:r>
      </w:hyperlink>
      <w:r>
        <w:t xml:space="preserve"> (В форме федерального статистического наблюдения </w:t>
      </w:r>
      <w:hyperlink r:id="rId9" w:history="1">
        <w:r>
          <w:rPr>
            <w:color w:val="0000FF"/>
          </w:rPr>
          <w:t>N 5-ФК</w:t>
        </w:r>
      </w:hyperlink>
      <w:r>
        <w:t xml:space="preserve"> ДЮСШ и СДЮШОР с отделениями спорта инвалидов учитываются только в </w:t>
      </w:r>
      <w:hyperlink r:id="rId10" w:history="1">
        <w:r>
          <w:rPr>
            <w:color w:val="0000FF"/>
          </w:rPr>
          <w:t>Разделе V</w:t>
        </w:r>
      </w:hyperlink>
      <w:r>
        <w:t xml:space="preserve"> "Данные по школам" как единица учреждения).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4" w:history="1">
        <w:r>
          <w:rPr>
            <w:color w:val="0000FF"/>
          </w:rPr>
          <w:t>графе 1</w:t>
        </w:r>
      </w:hyperlink>
      <w:r>
        <w:t xml:space="preserve"> указаны спортивные дисциплины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03" w:history="1">
        <w:r>
          <w:rPr>
            <w:color w:val="0000FF"/>
          </w:rPr>
          <w:t>строке 51</w:t>
        </w:r>
      </w:hyperlink>
      <w:r>
        <w:t xml:space="preserve"> учитывается спортивно-оздоровительная и спортивная работа в центрах спортивной подготовки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21" w:history="1">
        <w:r>
          <w:rPr>
            <w:color w:val="0000FF"/>
          </w:rPr>
          <w:t>строке 52</w:t>
        </w:r>
      </w:hyperlink>
      <w:r>
        <w:t xml:space="preserve"> учитывается спортивно-оздоровительная и спортивная работа в физкультурно-спортивных клубах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39" w:history="1">
        <w:r>
          <w:rPr>
            <w:color w:val="0000FF"/>
          </w:rPr>
          <w:t>строке 53</w:t>
        </w:r>
      </w:hyperlink>
      <w:r>
        <w:t xml:space="preserve"> учитывается спортивно-оздоровительная и спортивная работа в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57" w:history="1">
        <w:r>
          <w:rPr>
            <w:color w:val="0000FF"/>
          </w:rPr>
          <w:t>строке 54</w:t>
        </w:r>
      </w:hyperlink>
      <w:r>
        <w:t xml:space="preserve"> учитывается спортивно-оздоровительная и спортивная работа в специализированных детско-юношеских спортивно-адаптивных школах.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75" w:history="1">
        <w:r>
          <w:rPr>
            <w:color w:val="0000FF"/>
          </w:rPr>
          <w:t>строке 55</w:t>
        </w:r>
      </w:hyperlink>
      <w:r>
        <w:t xml:space="preserve"> учитывается спортивно-оздоровительная и спортивная работа в учреждениях спортивной направленности по адаптивной физической культуре и спорту.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293" w:history="1">
        <w:r>
          <w:rPr>
            <w:color w:val="0000FF"/>
          </w:rPr>
          <w:t>строке 56</w:t>
        </w:r>
      </w:hyperlink>
      <w:r>
        <w:t xml:space="preserve"> учитывается спортивно-оздоровительная и спортивная работа в училищах олимпийского резерва.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строке 57</w:t>
        </w:r>
      </w:hyperlink>
      <w:r>
        <w:t xml:space="preserve"> учитывается спортивно-оздоровительная и спортивная работа в центрах спортивной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329" w:history="1">
        <w:r>
          <w:rPr>
            <w:color w:val="0000FF"/>
          </w:rPr>
          <w:t>строке 58</w:t>
        </w:r>
      </w:hyperlink>
      <w:r>
        <w:t xml:space="preserve"> учитывается спортивно-оздоровительная и спортивная работа в школах высшего спортивного мастерства, специализированных детско-юношеских спортивных школах, детско-юношеских спортивных школах, детских оздоровительно-образовательных центрах.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347" w:history="1">
        <w:r>
          <w:rPr>
            <w:color w:val="0000FF"/>
          </w:rPr>
          <w:t>строке 59</w:t>
        </w:r>
      </w:hyperlink>
      <w:r>
        <w:t xml:space="preserve"> учитывается спортивно-оздоровительная и спортивная работа в других учреждениях и организациях.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66" w:history="1">
        <w:r>
          <w:rPr>
            <w:color w:val="0000FF"/>
          </w:rPr>
          <w:t>графе 3</w:t>
        </w:r>
      </w:hyperlink>
      <w:r>
        <w:t xml:space="preserve"> учитывается количество отделений по данным дисциплинам, включенным в ВРВС по спорту инвалидов.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70" w:history="1">
        <w:r>
          <w:rPr>
            <w:color w:val="0000FF"/>
          </w:rPr>
          <w:t>графах 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 xml:space="preserve"> учитывается численность занимающихся на различных этапах подготовки.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Показатели </w:t>
      </w:r>
      <w:hyperlink w:anchor="P1167" w:history="1">
        <w:r>
          <w:rPr>
            <w:color w:val="0000FF"/>
          </w:rPr>
          <w:t>графы 4</w:t>
        </w:r>
      </w:hyperlink>
      <w:r>
        <w:t xml:space="preserve"> по всем строкам раздела должны быть равны сумме показателей граф с </w:t>
      </w:r>
      <w:hyperlink w:anchor="P1170" w:history="1">
        <w:r>
          <w:rPr>
            <w:color w:val="0000FF"/>
          </w:rPr>
          <w:t>7</w:t>
        </w:r>
      </w:hyperlink>
      <w:r>
        <w:t xml:space="preserve"> - </w:t>
      </w:r>
      <w:hyperlink w:anchor="P2513" w:history="1">
        <w:r>
          <w:rPr>
            <w:color w:val="0000FF"/>
          </w:rPr>
          <w:t>26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4 должен быть равен или меньше суммы Раздела I </w:t>
      </w:r>
      <w:hyperlink w:anchor="P130" w:history="1">
        <w:r>
          <w:rPr>
            <w:color w:val="0000FF"/>
          </w:rPr>
          <w:t>строки 01</w:t>
        </w:r>
      </w:hyperlink>
      <w:r>
        <w:t xml:space="preserve"> графы 9.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Из </w:t>
      </w:r>
      <w:hyperlink w:anchor="P1167" w:history="1">
        <w:r>
          <w:rPr>
            <w:color w:val="0000FF"/>
          </w:rPr>
          <w:t>графы 4</w:t>
        </w:r>
      </w:hyperlink>
      <w:r>
        <w:t>: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- в </w:t>
      </w:r>
      <w:hyperlink w:anchor="P1168" w:history="1">
        <w:r>
          <w:rPr>
            <w:color w:val="0000FF"/>
          </w:rPr>
          <w:t>графе 5</w:t>
        </w:r>
      </w:hyperlink>
      <w:r>
        <w:t xml:space="preserve"> выделяются </w:t>
      </w:r>
      <w:proofErr w:type="gramStart"/>
      <w:r>
        <w:t>занимающиеся</w:t>
      </w:r>
      <w:proofErr w:type="gramEnd"/>
      <w:r>
        <w:t xml:space="preserve"> в возрасте от 6 до 18 лет;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- в </w:t>
      </w:r>
      <w:hyperlink w:anchor="P1169" w:history="1">
        <w:r>
          <w:rPr>
            <w:color w:val="0000FF"/>
          </w:rPr>
          <w:t>графе 6</w:t>
        </w:r>
      </w:hyperlink>
      <w:r>
        <w:t xml:space="preserve"> выделяются занимающиеся в сельской местности.</w:t>
      </w:r>
      <w:proofErr w:type="gramEnd"/>
      <w:r>
        <w:t xml:space="preserve"> Показатель </w:t>
      </w:r>
      <w:hyperlink w:anchor="P1184" w:history="1">
        <w:r>
          <w:rPr>
            <w:color w:val="0000FF"/>
          </w:rPr>
          <w:t>строки 50</w:t>
        </w:r>
      </w:hyperlink>
      <w:r>
        <w:t xml:space="preserve"> графы 6 должен быть равен показателю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4 и </w:t>
      </w:r>
      <w:hyperlink w:anchor="P2463" w:history="1">
        <w:r>
          <w:rPr>
            <w:color w:val="0000FF"/>
          </w:rPr>
          <w:t>строки 121</w:t>
        </w:r>
      </w:hyperlink>
      <w:r>
        <w:t xml:space="preserve"> графы 6.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84" w:history="1">
        <w:r>
          <w:rPr>
            <w:color w:val="0000FF"/>
          </w:rPr>
          <w:t>строке 50</w:t>
        </w:r>
      </w:hyperlink>
      <w:r>
        <w:t xml:space="preserve"> по всем графам раздела учитываются суммарные показатели </w:t>
      </w:r>
      <w:hyperlink w:anchor="P1365" w:history="1">
        <w:r>
          <w:rPr>
            <w:color w:val="0000FF"/>
          </w:rPr>
          <w:t>строк 60</w:t>
        </w:r>
      </w:hyperlink>
      <w:r>
        <w:t xml:space="preserve"> - </w:t>
      </w:r>
      <w:hyperlink w:anchor="P2445" w:history="1">
        <w:r>
          <w:rPr>
            <w:color w:val="0000FF"/>
          </w:rPr>
          <w:t>120</w:t>
        </w:r>
      </w:hyperlink>
      <w:r>
        <w:t>, спортивных дисциплин по видам спорта инвалидов, в соответствии с ВРВС.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45" w:history="1">
        <w:r>
          <w:rPr>
            <w:color w:val="0000FF"/>
          </w:rPr>
          <w:t>строке 120</w:t>
        </w:r>
      </w:hyperlink>
      <w:r>
        <w:t xml:space="preserve"> "Другие виды спорта (спортивные дисциплины), не входящие в виды спорта инвалидов" учитывается количество занимающихся в группах по спортивным дисциплинам (видам спорта), не включенным в ВРВС, но признанным на территории Российской Федерации.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463" w:history="1">
        <w:r>
          <w:rPr>
            <w:color w:val="0000FF"/>
          </w:rPr>
          <w:t>строке 121</w:t>
        </w:r>
      </w:hyperlink>
      <w:r>
        <w:t xml:space="preserve"> по всем графам раздела выделяются показатели спортивно-оздоровительной и спортивной работы в сельской местности, указанные в перечне </w:t>
      </w:r>
      <w:hyperlink w:anchor="P1138" w:history="1">
        <w:r>
          <w:rPr>
            <w:color w:val="0000FF"/>
          </w:rPr>
          <w:t>раздела</w:t>
        </w:r>
      </w:hyperlink>
      <w:r>
        <w:t>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15" w:history="1">
        <w:r>
          <w:rPr>
            <w:color w:val="0000FF"/>
          </w:rPr>
          <w:t>графе 28</w:t>
        </w:r>
      </w:hyperlink>
      <w:r>
        <w:t xml:space="preserve"> учитывается суммарный показатель </w:t>
      </w:r>
      <w:hyperlink w:anchor="P2516" w:history="1">
        <w:r>
          <w:rPr>
            <w:color w:val="0000FF"/>
          </w:rPr>
          <w:t>графы 29</w:t>
        </w:r>
      </w:hyperlink>
      <w:r>
        <w:t xml:space="preserve"> (I взрослый разряд) и </w:t>
      </w:r>
      <w:hyperlink w:anchor="P2517" w:history="1">
        <w:r>
          <w:rPr>
            <w:color w:val="0000FF"/>
          </w:rPr>
          <w:t>графы 30</w:t>
        </w:r>
      </w:hyperlink>
      <w:r>
        <w:t xml:space="preserve"> (кандидат в мастера спорта России) занимающиеся на этапах спортивной подготовки, получившие в отчетном году массовые разряды (III, II, I юношеские и взрослые разряды, кандидат в мастера спорта России).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В </w:t>
      </w:r>
      <w:hyperlink w:anchor="P2518" w:history="1">
        <w:r>
          <w:rPr>
            <w:color w:val="0000FF"/>
          </w:rPr>
          <w:t>графе 31</w:t>
        </w:r>
      </w:hyperlink>
      <w:r>
        <w:t xml:space="preserve"> учитываются занимающиеся на этапах спортивной подготовки, получившие в отчетном году звание "Мастер спорта России".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2519" w:history="1">
        <w:r>
          <w:rPr>
            <w:color w:val="0000FF"/>
          </w:rPr>
          <w:t>графе 32</w:t>
        </w:r>
      </w:hyperlink>
      <w:r>
        <w:t xml:space="preserve"> учитываются занимающиеся на этапах спортивной подготовки, получившие в отчетном году звание "Мастер спорта России международного класса" и "Гроссмейстер России".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2520" w:history="1">
        <w:r>
          <w:rPr>
            <w:color w:val="0000FF"/>
          </w:rPr>
          <w:t>графе 33</w:t>
        </w:r>
      </w:hyperlink>
      <w:r>
        <w:t xml:space="preserve"> учитываются занимающиеся на этапах спортивной подготовки, получившие в отчетном году звание "Заслуженный Мастер спорта России".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2521" w:history="1">
        <w:r>
          <w:rPr>
            <w:color w:val="0000FF"/>
          </w:rPr>
          <w:t>графе 34</w:t>
        </w:r>
      </w:hyperlink>
      <w:r>
        <w:t xml:space="preserve"> учитываются тренеры-преподаватели по видам спорта (спортивным дисциплинам), занимающие штатные должности, осуществляющие работу с лицами с ограниченными возможностями здоровья и инвалидами.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1138" w:history="1">
        <w:r>
          <w:rPr>
            <w:color w:val="0000FF"/>
          </w:rPr>
          <w:t>разделе IV</w:t>
        </w:r>
      </w:hyperlink>
      <w:r>
        <w:t xml:space="preserve"> не ведется учет участников Специальной олимпиады России.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center"/>
        <w:outlineLvl w:val="2"/>
      </w:pPr>
      <w:r>
        <w:t>Раздел V. Спортивное мастерство среди инвалидов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ind w:firstLine="540"/>
        <w:jc w:val="both"/>
      </w:pPr>
      <w:r>
        <w:t xml:space="preserve">В данном </w:t>
      </w:r>
      <w:hyperlink w:anchor="P3821" w:history="1">
        <w:r>
          <w:rPr>
            <w:color w:val="0000FF"/>
          </w:rPr>
          <w:t>разделе</w:t>
        </w:r>
      </w:hyperlink>
      <w:r>
        <w:t xml:space="preserve"> учитываются спортивные звания и разряды, государственные почетные звания и награды, присвоенные спортсменам-инвалидам в отчетном году.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Показатель </w:t>
      </w:r>
      <w:hyperlink w:anchor="P3834" w:history="1">
        <w:r>
          <w:rPr>
            <w:color w:val="0000FF"/>
          </w:rPr>
          <w:t>графы 3</w:t>
        </w:r>
      </w:hyperlink>
      <w:r>
        <w:t xml:space="preserve"> должен быть равен сумме показателей граф с </w:t>
      </w:r>
      <w:hyperlink w:anchor="P3835" w:history="1">
        <w:r>
          <w:rPr>
            <w:color w:val="0000FF"/>
          </w:rPr>
          <w:t>4</w:t>
        </w:r>
      </w:hyperlink>
      <w:r>
        <w:t xml:space="preserve"> по </w:t>
      </w:r>
      <w:hyperlink w:anchor="P3838" w:history="1">
        <w:r>
          <w:rPr>
            <w:color w:val="0000FF"/>
          </w:rPr>
          <w:t>7</w:t>
        </w:r>
      </w:hyperlink>
      <w:r>
        <w:t>, по всем строкам раздела.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3840" w:history="1">
        <w:r>
          <w:rPr>
            <w:color w:val="0000FF"/>
          </w:rPr>
          <w:t>строке 122</w:t>
        </w:r>
      </w:hyperlink>
      <w:r>
        <w:t xml:space="preserve"> (графа 3) - "Присвоено званий - всего" учитывается суммарное количество присвоенных почетных спортивных званий "Мастер спорта России", "Мастер спорта России международного класса", "Гроссмейстер России" и "Заслуженный мастер спорта России" (</w:t>
      </w:r>
      <w:hyperlink w:anchor="P3848" w:history="1">
        <w:r>
          <w:rPr>
            <w:color w:val="0000FF"/>
          </w:rPr>
          <w:t>строки 123</w:t>
        </w:r>
      </w:hyperlink>
      <w:r>
        <w:t xml:space="preserve"> - </w:t>
      </w:r>
      <w:hyperlink w:anchor="P3862" w:history="1">
        <w:r>
          <w:rPr>
            <w:color w:val="0000FF"/>
          </w:rPr>
          <w:t>125</w:t>
        </w:r>
      </w:hyperlink>
      <w:r>
        <w:t>),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69" w:history="1">
        <w:r>
          <w:rPr>
            <w:color w:val="0000FF"/>
          </w:rPr>
          <w:t>строке 126</w:t>
        </w:r>
      </w:hyperlink>
      <w:r>
        <w:t xml:space="preserve"> (графа 3) учитывается суммарное количество подготовленных спортсменов массовых разрядов, таких как Кандидат в мастера спорта России и I разряд из них в </w:t>
      </w:r>
      <w:hyperlink w:anchor="P3877" w:history="1">
        <w:r>
          <w:rPr>
            <w:color w:val="0000FF"/>
          </w:rPr>
          <w:t>строках 127</w:t>
        </w:r>
      </w:hyperlink>
      <w:r>
        <w:t xml:space="preserve"> - </w:t>
      </w:r>
      <w:hyperlink w:anchor="P3884" w:history="1">
        <w:r>
          <w:rPr>
            <w:color w:val="0000FF"/>
          </w:rPr>
          <w:t>128</w:t>
        </w:r>
      </w:hyperlink>
      <w:r>
        <w:t>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1" w:history="1">
        <w:r>
          <w:rPr>
            <w:color w:val="0000FF"/>
          </w:rPr>
          <w:t>строке 129</w:t>
        </w:r>
      </w:hyperlink>
      <w:r>
        <w:t xml:space="preserve"> (графа 3) - "Присвоено званий - ЗТР" учитывается количество тренеров, которым в отчетном году присвоено почетное спортивное звание "Заслуженный тренер России", по видам спорта: спорт лиц с интеллектуальными нарушениями, спорт слепых, спорт глухих и спорт </w:t>
      </w:r>
      <w:r>
        <w:lastRenderedPageBreak/>
        <w:t>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898" w:history="1">
        <w:r>
          <w:rPr>
            <w:color w:val="0000FF"/>
          </w:rPr>
          <w:t>строке 130</w:t>
        </w:r>
      </w:hyperlink>
      <w:r>
        <w:t xml:space="preserve"> (графа 3) - "Присвоено званий - ЗРФК" учитывается количество работников физической культуры и спорта, которым в отчетном году было присвоено почетное звание "Заслуженный работник физической культуры Российской Федерации",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w:anchor="P3905" w:history="1">
        <w:r>
          <w:rPr>
            <w:color w:val="0000FF"/>
          </w:rPr>
          <w:t>строке 131</w:t>
        </w:r>
      </w:hyperlink>
      <w:r>
        <w:t xml:space="preserve"> (графа 3) - присуждены "Другие государственные почетные звания и награды" учитывается количество работников физической культуры и спорта, которые в отчетном году были награждены иными государственными почетными званиями и наградами, не указанными в перечне раздела,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  <w:proofErr w:type="gramEnd"/>
    </w:p>
    <w:p w:rsidR="001433F2" w:rsidRDefault="001433F2">
      <w:pPr>
        <w:pStyle w:val="ConsPlusNormal"/>
        <w:spacing w:before="280"/>
        <w:ind w:firstLine="540"/>
        <w:jc w:val="both"/>
      </w:pPr>
      <w:r>
        <w:t xml:space="preserve">В </w:t>
      </w:r>
      <w:hyperlink w:anchor="P3912" w:history="1">
        <w:r>
          <w:rPr>
            <w:color w:val="0000FF"/>
          </w:rPr>
          <w:t>строке 132</w:t>
        </w:r>
      </w:hyperlink>
      <w:r>
        <w:t xml:space="preserve"> (графа 3) учитываются почетные звания и награды, присужденные в субъекте Российской Федерации, по видам спорта: спорт лиц с интеллектуальными нарушениями, спорт слепых, спорт глухих и спорт лиц с поражением опорно-двигательного аппарата.</w:t>
      </w:r>
    </w:p>
    <w:p w:rsidR="001433F2" w:rsidRDefault="001433F2">
      <w:pPr>
        <w:pStyle w:val="ConsPlusNormal"/>
        <w:spacing w:before="280"/>
        <w:ind w:firstLine="540"/>
        <w:jc w:val="both"/>
      </w:pPr>
      <w:r>
        <w:t>Для расчетных статистических показателей используется численность населения с 3 до 79 лет.</w:t>
      </w: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jc w:val="both"/>
      </w:pPr>
    </w:p>
    <w:p w:rsidR="001433F2" w:rsidRDefault="0014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17B6" w:rsidRDefault="00BA17B6"/>
    <w:sectPr w:rsidR="00BA17B6" w:rsidSect="00E87C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F2"/>
    <w:rsid w:val="001433F2"/>
    <w:rsid w:val="001F10F4"/>
    <w:rsid w:val="00262424"/>
    <w:rsid w:val="004836DA"/>
    <w:rsid w:val="00657D5E"/>
    <w:rsid w:val="009A7239"/>
    <w:rsid w:val="00B80B86"/>
    <w:rsid w:val="00BA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rPr>
      <w:rFonts w:asciiTheme="minorHAnsi" w:hAnsiTheme="minorHAnsi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  <w:style w:type="paragraph" w:customStyle="1" w:styleId="ConsPlusNormal">
    <w:name w:val="ConsPlusNormal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836DA"/>
    <w:rPr>
      <w:rFonts w:asciiTheme="minorHAnsi" w:hAnsiTheme="minorHAnsi"/>
    </w:rPr>
  </w:style>
  <w:style w:type="character" w:customStyle="1" w:styleId="10">
    <w:name w:val="Стиль1 Знак"/>
    <w:basedOn w:val="a0"/>
    <w:link w:val="1"/>
    <w:rsid w:val="004836DA"/>
    <w:rPr>
      <w:sz w:val="28"/>
    </w:rPr>
  </w:style>
  <w:style w:type="paragraph" w:customStyle="1" w:styleId="ConsPlusNormal">
    <w:name w:val="ConsPlusNormal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3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26E318BE055B7CE22ADD25E435205E84DD912Ak7k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77E7F6F43F546075BD26E318BE055B7CEF2DDD20E735205E84DD912Ak7k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7E7F6F43F546075BD26E318BE055B7CED2EDF20E335205E84DD912A7C0652CF453BBCD559AA32kDk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77E7F6F43F546075BD26E318BE055B7FEA2FDE24E735205E84DD912A7C0652CF453BBFD4k5kCI" TargetMode="External"/><Relationship Id="rId10" Type="http://schemas.openxmlformats.org/officeDocument/2006/relationships/hyperlink" Target="consultantplus://offline/ref=DE77E7F6F43F546075BD26E318BE055B7CE82CDA27E335205E84DD912A7C0652CF453BBCD558A832kD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77E7F6F43F546075BD26E318BE055B7CE82CDA27E335205E84DD912A7C0652CF453BBCD559A230kD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</dc:creator>
  <cp:lastModifiedBy>Рогозин Иван Владимирович</cp:lastModifiedBy>
  <cp:revision>2</cp:revision>
  <dcterms:created xsi:type="dcterms:W3CDTF">2017-12-21T16:00:00Z</dcterms:created>
  <dcterms:modified xsi:type="dcterms:W3CDTF">2017-12-21T16:00:00Z</dcterms:modified>
</cp:coreProperties>
</file>